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A" w:rsidRPr="007F5B8C" w:rsidRDefault="00390D0A" w:rsidP="00390D0A">
      <w:pPr>
        <w:spacing w:after="0" w:line="240" w:lineRule="auto"/>
        <w:rPr>
          <w:sz w:val="16"/>
          <w:szCs w:val="16"/>
        </w:rPr>
      </w:pPr>
      <w:r w:rsidRPr="007F5B8C">
        <w:rPr>
          <w:rStyle w:val="a8"/>
          <w:rFonts w:ascii="Tahoma" w:hAnsi="Tahoma" w:cs="Tahoma"/>
          <w:sz w:val="16"/>
          <w:szCs w:val="16"/>
          <w:shd w:val="clear" w:color="auto" w:fill="FFFFFF"/>
        </w:rPr>
        <w:t>Математика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6008"/>
      </w:tblGrid>
      <w:tr w:rsidR="00390D0A" w:rsidRPr="007F5B8C" w:rsidTr="006916F3">
        <w:tc>
          <w:tcPr>
            <w:tcW w:w="1809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Разделы</w:t>
            </w:r>
          </w:p>
        </w:tc>
        <w:tc>
          <w:tcPr>
            <w:tcW w:w="7797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научится:</w:t>
            </w:r>
          </w:p>
        </w:tc>
        <w:tc>
          <w:tcPr>
            <w:tcW w:w="6008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получит возможность научиться</w:t>
            </w:r>
          </w:p>
        </w:tc>
      </w:tr>
      <w:tr w:rsidR="00390D0A" w:rsidRPr="007F5B8C" w:rsidTr="006916F3">
        <w:tc>
          <w:tcPr>
            <w:tcW w:w="1809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2.5.1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Числа и величины</w:t>
            </w:r>
          </w:p>
        </w:tc>
        <w:tc>
          <w:tcPr>
            <w:tcW w:w="7797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читать, записывать, сравнивать, упорядочивать числа от нуля до миллиона;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ние/уменьшение числа на несколько единиц, увеличение/уменьшение числа в несколько раз);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группировать числа по заданному или самостоятельно установленному признаку;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тиметр, сантиметр — миллиметр).</w:t>
            </w:r>
            <w:proofErr w:type="gramEnd"/>
          </w:p>
        </w:tc>
        <w:tc>
          <w:tcPr>
            <w:tcW w:w="6008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классифицировать числа по одному или нескольким основаниям, объяснять свои действия;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выбирать единицу для измерения данной величины (длины, массы, площ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ди, времени), объяснять свои действия.</w:t>
            </w:r>
          </w:p>
        </w:tc>
      </w:tr>
      <w:tr w:rsidR="00390D0A" w:rsidRPr="007F5B8C" w:rsidTr="006916F3">
        <w:tc>
          <w:tcPr>
            <w:tcW w:w="1809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2.5.2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Арифметические действия</w:t>
            </w:r>
          </w:p>
        </w:tc>
        <w:tc>
          <w:tcPr>
            <w:tcW w:w="7797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выполнять письменно действия с многозначными числами (сложение, вычитание, умножение и д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</w:t>
            </w:r>
            <w:r w:rsidRPr="007F5B8C">
              <w:rPr>
                <w:rFonts w:ascii="Tahoma" w:hAnsi="Tahoma" w:cs="Tahoma"/>
                <w:sz w:val="16"/>
                <w:szCs w:val="16"/>
              </w:rPr>
              <w:t>т</w:t>
            </w:r>
            <w:r w:rsidRPr="007F5B8C">
              <w:rPr>
                <w:rFonts w:ascii="Tahoma" w:hAnsi="Tahoma" w:cs="Tahoma"/>
                <w:sz w:val="16"/>
                <w:szCs w:val="16"/>
              </w:rPr>
              <w:t>ком);</w:t>
            </w:r>
            <w:proofErr w:type="gramEnd"/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выполнять устно сложение, вычитание, умножение и деление однозначных, двузначных и трё</w:t>
            </w:r>
            <w:r w:rsidRPr="007F5B8C">
              <w:rPr>
                <w:rFonts w:ascii="Tahoma" w:hAnsi="Tahoma" w:cs="Tahoma"/>
                <w:sz w:val="16"/>
                <w:szCs w:val="16"/>
              </w:rPr>
              <w:t>х</w:t>
            </w:r>
            <w:r w:rsidRPr="007F5B8C">
              <w:rPr>
                <w:rFonts w:ascii="Tahoma" w:hAnsi="Tahoma" w:cs="Tahoma"/>
                <w:sz w:val="16"/>
                <w:szCs w:val="16"/>
              </w:rPr>
              <w:t>значных чисел в случаях, сводимых к действиям в пределах 100 (в том числе с нулём и числом 1);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выделять неизвестный компонент арифметического действия и находить его значение;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вычислять значение числового выражения (содержащего 2—3 арифметических действия, со ско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б</w:t>
            </w:r>
            <w:r w:rsidRPr="007F5B8C">
              <w:rPr>
                <w:rFonts w:ascii="Tahoma" w:hAnsi="Tahoma" w:cs="Tahoma"/>
                <w:sz w:val="16"/>
                <w:szCs w:val="16"/>
              </w:rPr>
              <w:t>ками и без скобок).</w:t>
            </w:r>
            <w:proofErr w:type="gramEnd"/>
          </w:p>
        </w:tc>
        <w:tc>
          <w:tcPr>
            <w:tcW w:w="6008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выполнять действия с величинами;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свойства арифметических действий для удобства вычисл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ний;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проводить проверку правильности вычислений (с помощью обратного де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й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ствия, прикидки и оценки результата действия и др.).</w:t>
            </w:r>
          </w:p>
        </w:tc>
      </w:tr>
      <w:tr w:rsidR="00390D0A" w:rsidRPr="007F5B8C" w:rsidTr="006916F3">
        <w:tc>
          <w:tcPr>
            <w:tcW w:w="1809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2.5.3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Работа с текст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о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выми задачами</w:t>
            </w:r>
          </w:p>
        </w:tc>
        <w:tc>
          <w:tcPr>
            <w:tcW w:w="7797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анализировать задачу, устанавливать зависимость между величинами, взаимосвязь между услов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ем и вопросом задачи, определять количество и порядок действий для решения за дачи, выбирать и объяснять выбор действий;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решать учебные задачи и задачи, связанные с повседневной жизнью, арифметическим способом (в 1—2 действия);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оценивать правильность хода решения и реальность ответа на вопрос задачи.</w:t>
            </w:r>
          </w:p>
        </w:tc>
        <w:tc>
          <w:tcPr>
            <w:tcW w:w="6008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решать задачи в 3—4 действия;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находить разные способы решения задачи.</w:t>
            </w:r>
          </w:p>
        </w:tc>
      </w:tr>
      <w:tr w:rsidR="00390D0A" w:rsidRPr="007F5B8C" w:rsidTr="006916F3">
        <w:tc>
          <w:tcPr>
            <w:tcW w:w="1809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2.5.4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Пространственные отношения. Ге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о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метрические ф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и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гуры</w:t>
            </w:r>
          </w:p>
        </w:tc>
        <w:tc>
          <w:tcPr>
            <w:tcW w:w="7797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описывать взаимное расположение предметов в пространстве и на плоскости;</w:t>
            </w:r>
            <w:proofErr w:type="gramEnd"/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390D0A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выполнять построение геометрических фигур с заданными измерениями (отрезок, квадрат, прям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 xml:space="preserve">угольник)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по</w:t>
            </w:r>
            <w:proofErr w:type="gram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мощью линейки, угольника; 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свойства прямоугольника и квадрата для решения задач;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распознавать и называть геометрические тела (куб, шар);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соотносить реальные объекты с моделями геометрических фигур.</w:t>
            </w:r>
          </w:p>
        </w:tc>
        <w:tc>
          <w:tcPr>
            <w:tcW w:w="6008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распознавать, различать и называть геометрические тела: параллелепипед, пирамиду, цилиндр, конус.</w:t>
            </w:r>
          </w:p>
        </w:tc>
      </w:tr>
      <w:tr w:rsidR="00390D0A" w:rsidRPr="007F5B8C" w:rsidTr="006916F3">
        <w:tc>
          <w:tcPr>
            <w:tcW w:w="1809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2.5.5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  <w:shd w:val="clear" w:color="auto" w:fill="FFFFFF"/>
              </w:rPr>
              <w:t>Геометрические величины</w:t>
            </w:r>
          </w:p>
        </w:tc>
        <w:tc>
          <w:tcPr>
            <w:tcW w:w="7797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измерять длину отрезка;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вычислять периметр треугольника, прямоугольника и квадрата, площадь прямоугольника и ква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д</w:t>
            </w:r>
            <w:r w:rsidRPr="007F5B8C">
              <w:rPr>
                <w:rFonts w:ascii="Tahoma" w:hAnsi="Tahoma" w:cs="Tahoma"/>
                <w:sz w:val="16"/>
                <w:szCs w:val="16"/>
              </w:rPr>
              <w:t>рата; 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• оценивать размеры геометрических объектов, расстояния приближённо (на глаз). </w:t>
            </w:r>
          </w:p>
        </w:tc>
        <w:tc>
          <w:tcPr>
            <w:tcW w:w="6008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вычислять периметр многоугольника, площадь фигуры, составленной из прямоугольников.</w:t>
            </w:r>
          </w:p>
        </w:tc>
      </w:tr>
      <w:tr w:rsidR="00390D0A" w:rsidRPr="007F5B8C" w:rsidTr="006916F3">
        <w:tc>
          <w:tcPr>
            <w:tcW w:w="1809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2.5.6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Работа с инфо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р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мацией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7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устанавливать истинность (верно, неверно) утверждений о числах, величинах, геометрических ф</w:t>
            </w:r>
            <w:r w:rsidRPr="007F5B8C">
              <w:rPr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гурах;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читать несложные готовые таблицы;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заполнять несложные готовые таблицы;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читать несложные готовые столбчатые диаграммы.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8" w:type="dxa"/>
          </w:tcPr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читать несложные готовые круговые диаграммы;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достраивать несложную готовую столбчатую диаграмму;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сравнивать и обобщать информацию, представленную в строках и стол</w:t>
            </w:r>
            <w:r w:rsidRPr="007F5B8C">
              <w:rPr>
                <w:rFonts w:ascii="Tahoma" w:hAnsi="Tahoma" w:cs="Tahoma"/>
                <w:sz w:val="16"/>
                <w:szCs w:val="16"/>
              </w:rPr>
              <w:t>б</w:t>
            </w:r>
            <w:r w:rsidRPr="007F5B8C">
              <w:rPr>
                <w:rFonts w:ascii="Tahoma" w:hAnsi="Tahoma" w:cs="Tahoma"/>
                <w:sz w:val="16"/>
                <w:szCs w:val="16"/>
              </w:rPr>
              <w:t>цах несложных таблиц и диаграмм;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понимать простейшие выражения, содержащие логические связки и слова («… и …», «если… то…», «верно/не верно, что…», «каждый», «все», «нек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торые», «не»);</w:t>
            </w:r>
            <w:proofErr w:type="gramEnd"/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составлять, записывать и выполнять инструкцию (простой алгоритм), план поиска информации;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распознавать одну и ту же информацию, представленную в разной форме (таблицы и диаграммы);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планировать несложные исследования, собирать и представлять получе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ную информацию с помощью таблиц и диаграмм;</w:t>
            </w:r>
          </w:p>
          <w:p w:rsidR="00390D0A" w:rsidRPr="007F5B8C" w:rsidRDefault="00390D0A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lastRenderedPageBreak/>
      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</w:tbl>
    <w:p w:rsidR="00332272" w:rsidRPr="00390D0A" w:rsidRDefault="00390D0A" w:rsidP="00390D0A">
      <w:bookmarkStart w:id="0" w:name="_GoBack"/>
      <w:bookmarkEnd w:id="0"/>
    </w:p>
    <w:sectPr w:rsidR="00332272" w:rsidRPr="00390D0A" w:rsidSect="00E6287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5"/>
    <w:rsid w:val="00152303"/>
    <w:rsid w:val="00220EA6"/>
    <w:rsid w:val="002A236B"/>
    <w:rsid w:val="00390D0A"/>
    <w:rsid w:val="00396E35"/>
    <w:rsid w:val="005C051C"/>
    <w:rsid w:val="005F10CA"/>
    <w:rsid w:val="008A47F8"/>
    <w:rsid w:val="00B06361"/>
    <w:rsid w:val="00C13851"/>
    <w:rsid w:val="00C56430"/>
    <w:rsid w:val="00E62870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Helper</cp:lastModifiedBy>
  <cp:revision>2</cp:revision>
  <dcterms:created xsi:type="dcterms:W3CDTF">2016-01-09T08:17:00Z</dcterms:created>
  <dcterms:modified xsi:type="dcterms:W3CDTF">2016-01-09T08:17:00Z</dcterms:modified>
</cp:coreProperties>
</file>